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12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9923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Mumbai, India |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linkden.com/in/profile|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+91 XXXXXXXXXX |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abc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tabs>
          <w:tab w:val="right" w:leader="none" w:pos="10080"/>
        </w:tabs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IIT Bombay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, Mumbai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080"/>
        </w:tabs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B.Tech - Computer Science (CGPA: 7.9) (First Class with Distinction and top 5 rank )</w:t>
        <w:tab/>
        <w:t xml:space="preserve">August 2016- July 2020</w:t>
      </w:r>
    </w:p>
    <w:p w:rsidR="00000000" w:rsidDel="00000000" w:rsidP="00000000" w:rsidRDefault="00000000" w:rsidRPr="00000000" w14:paraId="00000007">
      <w:pPr>
        <w:tabs>
          <w:tab w:val="right" w:leader="none" w:pos="10080"/>
        </w:tabs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080"/>
        </w:tabs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Assam Rifles Public school (Central Board of Secondary Education) Jorhat, Assam </w:t>
      </w:r>
    </w:p>
    <w:p w:rsidR="00000000" w:rsidDel="00000000" w:rsidP="00000000" w:rsidRDefault="00000000" w:rsidRPr="00000000" w14:paraId="00000009">
      <w:pPr>
        <w:tabs>
          <w:tab w:val="right" w:leader="none" w:pos="10080"/>
        </w:tabs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Science ( 95.6%) All India Senior School Certificate Examination (AISSCE) </w:t>
        <w:tab/>
        <w:t xml:space="preserve">June 2015 - May 20216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10080"/>
        </w:tabs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080"/>
        </w:tabs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Yale University </w:t>
      </w:r>
    </w:p>
    <w:p w:rsidR="00000000" w:rsidDel="00000000" w:rsidP="00000000" w:rsidRDefault="00000000" w:rsidRPr="00000000" w14:paraId="0000000C">
      <w:pPr>
        <w:tabs>
          <w:tab w:val="right" w:leader="none" w:pos="10080"/>
        </w:tabs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South Asian Tech and AI revolution - fundamentals </w:t>
        <w:tab/>
        <w:t xml:space="preserve"> August 2023- December 2023</w:t>
      </w:r>
    </w:p>
    <w:p w:rsidR="00000000" w:rsidDel="00000000" w:rsidP="00000000" w:rsidRDefault="00000000" w:rsidRPr="00000000" w14:paraId="0000000D">
      <w:pPr>
        <w:tabs>
          <w:tab w:val="right" w:leader="none" w:pos="10080"/>
        </w:tabs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WORK EXPERIENCE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Airtel Payments Bank (Bharti Airtel Limited)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10080"/>
        </w:tabs>
        <w:spacing w:line="240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Manager - Digital Growth Strategy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June 2022 – Present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Growth Strategy for Airtel Pay for India Market and enhanced User Experience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Built custom campaigns to increase retention of users on Bank App, improved continuity across by 5%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Managed a budget of 720 Mn to run omni-channel promotions targeting customers for UPI (Payment Mode)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Vodafone, Gurgaon, India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Assistant Manager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  <w:tab/>
        <w:tab/>
        <w:tab/>
        <w:t xml:space="preserve">           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Jan 2021- May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Collaborated with CXO to work on the product strategy by doing competitive benchmarking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Owned and presented the Business projections for key revenue streams for the Bank on Quarterly basis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Created detailed business plans and launch strategy for new products along with aspects of customer lifecycle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AWARDS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Airtel Payments Bank Highflyer Award,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Airtel Payments Bank. 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Recognition for analyzing user cohorts and scaling Recharges and Bill Payments as a Category Growth Manager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Gold medal - PGDM in Banking and Financial Services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National Institute of Bank Management, Pune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Gold Medal for Academic Excellence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Scholarship Awardee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Sir Dorabji Tata Trust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Scholarship &amp;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Ministry of Science &amp; Technology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Scholarship for academic excellence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EXTRA CURRICULAR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​​Emerging Leaders' Program, Bharti Airtel 2021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Emerging Leader Class of 2021.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Project Trainee in the 12 month Leadership Training Program by Bharti Airtel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VERVE | Vidyalankar Institute of Technology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Head, Sponsor Relations and Marketing </w:t>
        <w:br w:type="textWrapping"/>
        <w:t xml:space="preserve">Generated Rs. 0.2 Mn in Cash and Rs. 1 Mn in Kind for the annual college festival  </w:t>
        <w:br w:type="textWrapping"/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EXTRA CURRICULAR ACTIVITIES</w:t>
        <w:br w:type="textWrapping"/>
        <w:t xml:space="preserve">SKILLS: Expert in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Google Analytics, Moengage, Prismic and Microsoft Excel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Languages 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English (Native), Hindi (Native), Marathi (Native), French (A2)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Interests 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Classical Bharatanatyam Dancing, Cooking &amp; Baking, Exploring new cities &amp; culture, Sunset Cycling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